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proofErr w:type="gramStart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</w:t>
      </w:r>
      <w:proofErr w:type="gramEnd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</w:t>
      </w:r>
      <w:proofErr w:type="gramStart"/>
      <w:r>
        <w:rPr>
          <w:rFonts w:cs="Times New Roman" w:hint="eastAsia"/>
          <w:color w:val="auto"/>
        </w:rPr>
        <w:t>臺教署國字</w:t>
      </w:r>
      <w:proofErr w:type="gramEnd"/>
      <w:r>
        <w:rPr>
          <w:rFonts w:cs="Times New Roman" w:hint="eastAsia"/>
          <w:color w:val="auto"/>
        </w:rPr>
        <w:t>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</w:t>
      </w:r>
      <w:proofErr w:type="gramStart"/>
      <w:r w:rsidRPr="00281371">
        <w:rPr>
          <w:rFonts w:hAnsi="標楷體" w:hint="eastAsia"/>
        </w:rPr>
        <w:t>墨藝生活</w:t>
      </w:r>
      <w:proofErr w:type="gramEnd"/>
      <w:r w:rsidRPr="00281371">
        <w:rPr>
          <w:rFonts w:hAnsi="標楷體" w:hint="eastAsia"/>
        </w:rPr>
        <w:t>美學樂在桃」，</w:t>
      </w:r>
      <w:proofErr w:type="gramStart"/>
      <w:r w:rsidRPr="00281371">
        <w:rPr>
          <w:rFonts w:hAnsi="標楷體" w:hint="eastAsia"/>
        </w:rPr>
        <w:t>結合墨藝欣賞</w:t>
      </w:r>
      <w:proofErr w:type="gramEnd"/>
      <w:r w:rsidRPr="00281371">
        <w:rPr>
          <w:rFonts w:hAnsi="標楷體" w:hint="eastAsia"/>
        </w:rPr>
        <w:t>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</w:t>
            </w:r>
            <w:proofErr w:type="gramStart"/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筆畫習寫</w:t>
            </w:r>
            <w:proofErr w:type="gramEnd"/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proofErr w:type="gramEnd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日期</w:t>
            </w:r>
            <w:proofErr w:type="spellEnd"/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775EB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</w:t>
            </w:r>
            <w:proofErr w:type="gram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筆畫習寫</w:t>
            </w:r>
            <w:proofErr w:type="gramEnd"/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</w:t>
            </w:r>
            <w:proofErr w:type="gramEnd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講解</w:t>
            </w: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與習寫</w:t>
            </w:r>
            <w:proofErr w:type="gramEnd"/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  <w:proofErr w:type="spellEnd"/>
            <w:proofErr w:type="gramEnd"/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  <w:proofErr w:type="spellEnd"/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proofErr w:type="spellEnd"/>
            <w:r w:rsidRPr="006B6A1E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  <w:proofErr w:type="spellEnd"/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3B6FC2"/>
    <w:rsid w:val="004E0DBA"/>
    <w:rsid w:val="00952029"/>
    <w:rsid w:val="009A4E65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User</cp:lastModifiedBy>
  <cp:revision>2</cp:revision>
  <dcterms:created xsi:type="dcterms:W3CDTF">2025-10-20T00:34:00Z</dcterms:created>
  <dcterms:modified xsi:type="dcterms:W3CDTF">2025-10-20T00:34:00Z</dcterms:modified>
</cp:coreProperties>
</file>